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0"/>
        <w:ind w:left="10" w:right="0" w:hanging="1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PROJEKT</w:t>
      </w:r>
    </w:p>
    <w:p>
      <w:pPr>
        <w:pStyle w:val="Normal.0"/>
        <w:spacing w:after="10"/>
        <w:ind w:left="10" w:right="0" w:hanging="10"/>
        <w:jc w:val="center"/>
        <w:rPr>
          <w:b w:val="1"/>
          <w:bCs w:val="1"/>
        </w:rPr>
      </w:pPr>
    </w:p>
    <w:p>
      <w:pPr>
        <w:pStyle w:val="Normal.0"/>
        <w:spacing w:after="10"/>
        <w:ind w:left="10" w:right="0" w:hanging="10"/>
        <w:jc w:val="center"/>
        <w:rPr>
          <w:b w:val="1"/>
          <w:bCs w:val="1"/>
        </w:rPr>
      </w:pPr>
    </w:p>
    <w:p>
      <w:pPr>
        <w:pStyle w:val="Normal.0"/>
        <w:spacing w:after="10"/>
        <w:ind w:left="10" w:right="0" w:hanging="10"/>
        <w:jc w:val="center"/>
      </w:pPr>
      <w:r>
        <w:rPr>
          <w:b w:val="1"/>
          <w:bCs w:val="1"/>
          <w:rtl w:val="0"/>
          <w:lang w:val="de-DE"/>
        </w:rPr>
        <w:t>UCHWA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  <w:lang w:val="en-US"/>
        </w:rPr>
        <w:t>A NR ......-   /2024</w:t>
      </w:r>
    </w:p>
    <w:p>
      <w:pPr>
        <w:pStyle w:val="Normal.0"/>
        <w:spacing w:after="270"/>
        <w:ind w:left="10" w:right="0" w:hanging="1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RADY MIEJSKIEJ W OLSZTYNKU</w:t>
      </w:r>
    </w:p>
    <w:p>
      <w:pPr>
        <w:pStyle w:val="Normal.0"/>
        <w:spacing w:after="270"/>
        <w:ind w:left="10" w:right="0" w:hanging="10"/>
        <w:jc w:val="center"/>
      </w:pPr>
      <w:r>
        <w:rPr>
          <w:b w:val="1"/>
          <w:bCs w:val="1"/>
          <w:rtl w:val="0"/>
        </w:rPr>
        <w:t xml:space="preserve"> z dnia ....................................... 2024 r.</w:t>
      </w:r>
    </w:p>
    <w:p>
      <w:pPr>
        <w:pStyle w:val="Normal.0"/>
        <w:spacing w:after="480" w:line="238" w:lineRule="auto"/>
        <w:ind w:left="0" w:right="0" w:firstLine="0"/>
      </w:pPr>
      <w:r>
        <w:rPr>
          <w:b w:val="1"/>
          <w:bCs w:val="1"/>
          <w:rtl w:val="0"/>
        </w:rPr>
        <w:t>w sprawie okre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lenia trybu i szczeg</w:t>
      </w:r>
      <w:r>
        <w:rPr>
          <w:b w:val="1"/>
          <w:bCs w:val="1"/>
          <w:rtl w:val="0"/>
        </w:rPr>
        <w:t>ół</w:t>
      </w:r>
      <w:r>
        <w:rPr>
          <w:b w:val="1"/>
          <w:bCs w:val="1"/>
          <w:rtl w:val="0"/>
        </w:rPr>
        <w:t>owych kryteri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oceny wniosk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o realizacj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zadania publicznego w ramach inicjatywy lokalnej</w:t>
      </w:r>
    </w:p>
    <w:p>
      <w:pPr>
        <w:pStyle w:val="Normal.0"/>
        <w:spacing w:after="109" w:line="276" w:lineRule="auto"/>
        <w:ind w:left="0" w:right="0" w:firstLine="21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podstawie art. 18 ust. 2 pkt 15 ustawy z dnia 8 marca 1990 r. o samorz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dzie gminnym (Dz. U. z 2023 r. poz. 40 z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n. zm.), w zwi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zku z art. 19c ust. 1 ustawy z dnia 24 kwietnia 2003 r. o dzia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ytku publicznego i o wolontariacie (Dz. U. z 2023 r. poz. 571) -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Rada Miejska uchwala,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co nast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puje: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Okre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tryb i szczeg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owe kryteria oceny wniosk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o realizacj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zadania publicznego w ramach inicjatywy lokalnej.</w:t>
      </w:r>
    </w:p>
    <w:p>
      <w:pPr>
        <w:pStyle w:val="Normal.0"/>
        <w:spacing w:line="276" w:lineRule="auto"/>
        <w:ind w:left="0" w:right="0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 § 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</w:rPr>
        <w:t>Podstaw</w:t>
      </w:r>
      <w:r>
        <w:rPr>
          <w:rtl w:val="0"/>
        </w:rPr>
        <w:t xml:space="preserve">ą </w:t>
      </w:r>
      <w:r>
        <w:rPr>
          <w:rtl w:val="0"/>
        </w:rPr>
        <w:t>otrzymania wsparcia w ramach inicjatywy lokalnej jest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wniosku, w rozumieniu przepis</w:t>
      </w:r>
      <w:r>
        <w:rPr>
          <w:rtl w:val="0"/>
          <w:lang w:val="es-ES_tradnl"/>
        </w:rPr>
        <w:t>ó</w:t>
      </w:r>
      <w:r>
        <w:rPr>
          <w:rtl w:val="0"/>
        </w:rPr>
        <w:t>w ustawy z dnia 14 czerwca 1960 r. Kodeks post</w:t>
      </w:r>
      <w:r>
        <w:rPr>
          <w:rtl w:val="0"/>
        </w:rPr>
        <w:t>ę</w:t>
      </w:r>
      <w:r>
        <w:rPr>
          <w:rtl w:val="0"/>
        </w:rPr>
        <w:t>powania administracyjnego.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Oceny i rozpatrzenia wniosk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o realizacj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zada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publicznych w ramach inicjatywy lokalnej dokonuje Burmistrz Olsztynka, w oparciu o kryteria okre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lone w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 niniejszej uchwa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y.</w:t>
      </w: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tl w:val="0"/>
        </w:rPr>
        <w:t>Wniosek mo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 xml:space="preserve">ć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na formularzu, kt</w:t>
      </w:r>
      <w:r>
        <w:rPr>
          <w:rtl w:val="0"/>
          <w:lang w:val="es-ES_tradnl"/>
        </w:rPr>
        <w:t>ó</w:t>
      </w:r>
      <w:r>
        <w:rPr>
          <w:rtl w:val="0"/>
        </w:rPr>
        <w:t>rego wz</w:t>
      </w:r>
      <w:r>
        <w:rPr>
          <w:rtl w:val="0"/>
          <w:lang w:val="es-ES_tradnl"/>
        </w:rPr>
        <w:t>ó</w:t>
      </w:r>
      <w:r>
        <w:rPr>
          <w:rtl w:val="0"/>
        </w:rPr>
        <w:t>r okre</w:t>
      </w:r>
      <w:r>
        <w:rPr>
          <w:rtl w:val="0"/>
        </w:rPr>
        <w:t>ś</w:t>
      </w:r>
      <w:r>
        <w:rPr>
          <w:rtl w:val="0"/>
        </w:rPr>
        <w:t>li Burmistrz Olsztynka stosownym zarz</w:t>
      </w:r>
      <w:r>
        <w:rPr>
          <w:rtl w:val="0"/>
        </w:rPr>
        <w:t>ą</w:t>
      </w:r>
      <w:r>
        <w:rPr>
          <w:rtl w:val="0"/>
        </w:rPr>
        <w:t>dzeniem. Wniosek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ony w innej formie pod warunkiem jednak, </w:t>
      </w:r>
      <w:r>
        <w:rPr>
          <w:rtl w:val="0"/>
        </w:rPr>
        <w:t>ż</w:t>
      </w:r>
      <w:r>
        <w:rPr>
          <w:rtl w:val="0"/>
        </w:rPr>
        <w:t>e zawiera</w:t>
      </w:r>
      <w:r>
        <w:rPr>
          <w:rtl w:val="0"/>
        </w:rPr>
        <w:t xml:space="preserve">ć 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dzie niezb</w:t>
      </w:r>
      <w:r>
        <w:rPr>
          <w:rtl w:val="0"/>
        </w:rPr>
        <w:t>ę</w:t>
      </w:r>
      <w:r>
        <w:rPr>
          <w:rtl w:val="0"/>
        </w:rPr>
        <w:t>dne informacje okre</w:t>
      </w:r>
      <w:r>
        <w:rPr>
          <w:rtl w:val="0"/>
        </w:rPr>
        <w:t>ś</w:t>
      </w:r>
      <w:r>
        <w:rPr>
          <w:rtl w:val="0"/>
        </w:rPr>
        <w:t>lone we wzorze formularza.</w:t>
      </w: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 Po rozpatrzeniu wniosku wnioskodawca powiadamiany jest o sposobie jego 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atwienia z zachowaniem termin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okre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lonych w ustawie z dnia 14 czerwca 1960 r. Kodeks post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powania administracyjnego.</w:t>
      </w: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Wykazy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onych wniosk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wraz z sum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punkt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przyznanych im w drodze oceny og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aszane 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koniec roku w na Portalu Informacyjnym Olsztynka oraz w Biuletynie Informacji Publicznej Urz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Miejskiego w Olsztynku.</w:t>
      </w: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Przy ocenie wniosku o realizacj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zadania publicznego w ramach inicjatywy lokalnej stosuje si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kryteria oceny i odpowiadaj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 punktacj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247"/>
        <w:gridCol w:w="2815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Kryteria oceny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Ilo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punkt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624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I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Forma zaanga</w:t>
            </w:r>
            <w:r>
              <w:rPr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</w:rPr>
              <w:t>owania mieszka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1 do 3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wiadczenie pracy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wolontariuszy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wiadczenie rzeczowe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wiadczenie pieni</w:t>
            </w:r>
            <w:r>
              <w:rPr>
                <w:shd w:val="nil" w:color="auto" w:fill="auto"/>
                <w:rtl w:val="0"/>
              </w:rPr>
              <w:t>ęż</w:t>
            </w:r>
            <w:r>
              <w:rPr>
                <w:shd w:val="nil" w:color="auto" w:fill="auto"/>
                <w:rtl w:val="0"/>
              </w:rPr>
              <w:t>ne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624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II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 w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asny wnioskodawcy w formie pracy spo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ecznej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2 do 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powy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ej 120 godzin pracy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81 do 120 godzin pracy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50 do 80 godzin pracy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624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III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Udzia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rzeczowy wnioskodawcy w realizacji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0 do 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powy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ej 51%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31% do 50%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21% do 30%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11% do 20%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 xml:space="preserve">ci zadania 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5 % do 10%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 xml:space="preserve">ci zadania 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do 5%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dd4e9"/>
        </w:tblPrEx>
        <w:trPr>
          <w:trHeight w:val="624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IV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Udzia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finansowy wnioskodawcy w realizacji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1 do 5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81% do 100%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61% do 80%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41% do 60%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 xml:space="preserve">ci zadania 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16% do 40%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do 15% 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899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V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Zaanga</w:t>
            </w:r>
            <w:r>
              <w:rPr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owanie 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rodk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 bud</w:t>
            </w:r>
            <w:r>
              <w:rPr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</w:rPr>
              <w:t>etowych Gminy w stosunku do warto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1 do 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do 20%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21% do 40%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41% do 60%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61% do 80%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 xml:space="preserve">ci zadania 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od 81% do 100%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zadania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899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VI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Zgodno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wniosku z dokumentami strategicznymi i planami inwestycyjnymi Gminy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0 do 1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Wniosek wpisuje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w co najmniej jeden dokument strategiczny / plan inwestycyjny Gminy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Wniosek nie wpisuje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 xml:space="preserve">w 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aden dokument strategiczny / plan inwestycyjny Gminy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dd4e9"/>
        </w:tblPrEx>
        <w:trPr>
          <w:trHeight w:val="624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Kryterium VII</w:t>
            </w: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Szacunkowa liczba odbiorc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w, zakres oddzia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ywania inicjatywy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109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od 1 do 4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Inicjatywa oddzia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na du</w:t>
            </w:r>
            <w:r>
              <w:rPr>
                <w:shd w:val="nil" w:color="auto" w:fill="auto"/>
                <w:rtl w:val="0"/>
              </w:rPr>
              <w:t xml:space="preserve">żą </w:t>
            </w:r>
            <w:r>
              <w:rPr>
                <w:shd w:val="nil" w:color="auto" w:fill="auto"/>
                <w:rtl w:val="0"/>
              </w:rPr>
              <w:t>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mieszka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w, stanowi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kontynuacj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  <w:lang w:val="es-ES_tradnl"/>
              </w:rPr>
              <w:t>zada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z lat poprzednich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Inicjatywa oddzia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na du</w:t>
            </w:r>
            <w:r>
              <w:rPr>
                <w:shd w:val="nil" w:color="auto" w:fill="auto"/>
                <w:rtl w:val="0"/>
              </w:rPr>
              <w:t xml:space="preserve">żą </w:t>
            </w:r>
            <w:r>
              <w:rPr>
                <w:shd w:val="nil" w:color="auto" w:fill="auto"/>
                <w:rtl w:val="0"/>
              </w:rPr>
              <w:t>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mieszka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w, niestanowi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kontynuacji zada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z lat poprzednich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Inicjatywa oddzia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na niewielk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mieszka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w, stanowi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kontynuacj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  <w:lang w:val="es-ES_tradnl"/>
              </w:rPr>
              <w:t>zada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z lat poprzednich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left"/>
            </w:pPr>
            <w:r>
              <w:rPr>
                <w:shd w:val="nil" w:color="auto" w:fill="auto"/>
                <w:rtl w:val="0"/>
              </w:rPr>
              <w:t>Inicjatywa oddzia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na niewielk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mieszka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w, niestanowi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kontynuacji zada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z lat poprzednich</w:t>
            </w:r>
          </w:p>
        </w:tc>
        <w:tc>
          <w:tcPr>
            <w:tcW w:type="dxa" w:w="2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9" w:line="276" w:lineRule="auto"/>
              <w:ind w:left="0" w:right="0" w:firstLine="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</w:tbl>
    <w:p>
      <w:pPr>
        <w:pStyle w:val="Normal.0"/>
        <w:widowControl w:val="0"/>
        <w:spacing w:after="109" w:line="240" w:lineRule="auto"/>
        <w:ind w:left="0" w:right="0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09" w:line="276" w:lineRule="auto"/>
        <w:ind w:left="0" w:right="0" w:firstLine="315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Wykonanie uchwa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powierza si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Burmistrzowi Olsztynka.</w:t>
      </w:r>
    </w:p>
    <w:p>
      <w:pPr>
        <w:pStyle w:val="Normal.0"/>
        <w:tabs>
          <w:tab w:val="center" w:pos="1033"/>
          <w:tab w:val="center" w:pos="2516"/>
          <w:tab w:val="center" w:pos="3783"/>
          <w:tab w:val="center" w:pos="5266"/>
          <w:tab w:val="center" w:pos="6816"/>
          <w:tab w:val="right" w:pos="9072"/>
        </w:tabs>
        <w:spacing w:after="0" w:line="276" w:lineRule="auto"/>
        <w:ind w:left="0" w:right="0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     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5. 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Uchwa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wchodzi w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ycie po up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ywie 14 dni od dnia og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oszenia w Dzienniku Urz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dowym Wojew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dztwa Warmi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sko-Mazurskiego.</w:t>
      </w:r>
    </w:p>
    <w:p>
      <w:pPr>
        <w:pStyle w:val="Normal.0"/>
        <w:spacing w:after="0" w:line="259" w:lineRule="auto"/>
        <w:ind w:left="0" w:right="0" w:firstLine="0"/>
      </w:pPr>
      <w:r>
        <w:rPr>
          <w:rtl w:val="0"/>
        </w:rPr>
        <w:t xml:space="preserve"> </w:t>
      </w:r>
    </w:p>
    <w:p>
      <w:pPr>
        <w:pStyle w:val="Normal.0"/>
        <w:spacing w:after="478" w:line="265" w:lineRule="auto"/>
        <w:ind w:left="10" w:right="542" w:hanging="10"/>
        <w:jc w:val="right"/>
      </w:pPr>
    </w:p>
    <w:p>
      <w:pPr>
        <w:pStyle w:val="Normal.0"/>
        <w:spacing w:after="478" w:line="265" w:lineRule="auto"/>
        <w:ind w:left="10" w:right="542" w:hanging="10"/>
        <w:jc w:val="right"/>
      </w:pPr>
    </w:p>
    <w:p>
      <w:pPr>
        <w:pStyle w:val="Normal.0"/>
        <w:spacing w:after="478" w:line="265" w:lineRule="auto"/>
        <w:ind w:left="10" w:right="542" w:hanging="10"/>
        <w:jc w:val="right"/>
      </w:pPr>
      <w:r>
        <w:rPr>
          <w:rtl w:val="0"/>
        </w:rPr>
        <w:t>Przewodnicz</w:t>
      </w:r>
      <w:r>
        <w:rPr>
          <w:rtl w:val="0"/>
        </w:rPr>
        <w:t>ą</w:t>
      </w:r>
      <w:r>
        <w:rPr>
          <w:rtl w:val="0"/>
        </w:rPr>
        <w:t>cy Rady Miejskiej</w:t>
      </w:r>
    </w:p>
    <w:p>
      <w:pPr>
        <w:pStyle w:val="heading 1"/>
        <w:ind w:left="5976" w:right="0" w:firstLine="0"/>
      </w:pPr>
      <w:r>
        <w:rPr>
          <w:rtl w:val="0"/>
        </w:rPr>
        <w:t xml:space="preserve">             Andrzej Wojda</w:t>
      </w: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120" w:line="357" w:lineRule="auto"/>
        <w:ind w:left="4530" w:right="429" w:hanging="10"/>
        <w:jc w:val="left"/>
      </w:pPr>
    </w:p>
    <w:p>
      <w:pPr>
        <w:pStyle w:val="Normal.0"/>
        <w:spacing w:after="0" w:line="360" w:lineRule="auto"/>
        <w:ind w:left="0" w:right="0" w:firstLine="0"/>
        <w:jc w:val="center"/>
        <w:rPr>
          <w:b w:val="1"/>
          <w:bCs w:val="1"/>
          <w:caps w:val="1"/>
          <w:kern w:val="0"/>
          <w:shd w:val="clear" w:color="auto" w:fill="ffffff"/>
        </w:rPr>
      </w:pPr>
      <w:r>
        <w:rPr>
          <w:b w:val="1"/>
          <w:bCs w:val="1"/>
          <w:caps w:val="1"/>
          <w:kern w:val="0"/>
          <w:shd w:val="clear" w:color="auto" w:fill="ffffff"/>
          <w:rtl w:val="0"/>
        </w:rPr>
        <w:t>uzasadnienie</w:t>
      </w:r>
    </w:p>
    <w:p>
      <w:pPr>
        <w:pStyle w:val="Normal.0"/>
        <w:shd w:val="clear" w:color="auto" w:fill="ffffff"/>
        <w:spacing w:after="150" w:line="240" w:lineRule="auto"/>
        <w:ind w:left="0" w:right="0" w:firstLine="0"/>
        <w:rPr>
          <w:b w:val="1"/>
          <w:bCs w:val="1"/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76" w:lineRule="auto"/>
        <w:ind w:left="0" w:right="0" w:firstLine="0"/>
        <w:rPr>
          <w:b w:val="1"/>
          <w:bCs w:val="1"/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   Na podstawie art. 19c ust. 1 ustawy z dnia 24 kwietnia 2003 r. o dzia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 po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ytku publicznego i o wolontariacie (Dz. U. z 2023 r. poz. 571) - o</w:t>
      </w:r>
      <w:r>
        <w:rPr>
          <w:kern w:val="0"/>
          <w:shd w:val="clear" w:color="auto" w:fill="ffffff"/>
          <w:rtl w:val="0"/>
        </w:rPr>
        <w:t>rgan stanowi</w:t>
      </w:r>
      <w:r>
        <w:rPr>
          <w:kern w:val="0"/>
          <w:shd w:val="clear" w:color="auto" w:fill="ffffff"/>
          <w:rtl w:val="0"/>
        </w:rPr>
        <w:t>ą</w:t>
      </w:r>
      <w:r>
        <w:rPr>
          <w:kern w:val="0"/>
          <w:shd w:val="clear" w:color="auto" w:fill="ffffff"/>
          <w:rtl w:val="0"/>
        </w:rPr>
        <w:t>cy jednostki samorz</w:t>
      </w:r>
      <w:r>
        <w:rPr>
          <w:kern w:val="0"/>
          <w:shd w:val="clear" w:color="auto" w:fill="ffffff"/>
          <w:rtl w:val="0"/>
        </w:rPr>
        <w:t>ą</w:t>
      </w:r>
      <w:r>
        <w:rPr>
          <w:kern w:val="0"/>
          <w:shd w:val="clear" w:color="auto" w:fill="ffffff"/>
          <w:rtl w:val="0"/>
        </w:rPr>
        <w:t>du terytorialnego okre</w:t>
      </w:r>
      <w:r>
        <w:rPr>
          <w:kern w:val="0"/>
          <w:shd w:val="clear" w:color="auto" w:fill="ffffff"/>
          <w:rtl w:val="0"/>
        </w:rPr>
        <w:t>ś</w:t>
      </w:r>
      <w:r>
        <w:rPr>
          <w:kern w:val="0"/>
          <w:shd w:val="clear" w:color="auto" w:fill="ffffff"/>
          <w:rtl w:val="0"/>
        </w:rPr>
        <w:t>la tryb i szczeg</w:t>
      </w:r>
      <w:r>
        <w:rPr>
          <w:kern w:val="0"/>
          <w:shd w:val="clear" w:color="auto" w:fill="ffffff"/>
          <w:rtl w:val="0"/>
        </w:rPr>
        <w:t>ół</w:t>
      </w:r>
      <w:r>
        <w:rPr>
          <w:kern w:val="0"/>
          <w:shd w:val="clear" w:color="auto" w:fill="ffffff"/>
          <w:rtl w:val="0"/>
        </w:rPr>
        <w:t>owe kryteria oceny wniosk</w:t>
      </w:r>
      <w:r>
        <w:rPr>
          <w:kern w:val="0"/>
          <w:shd w:val="clear" w:color="auto" w:fill="ffffff"/>
          <w:rtl w:val="0"/>
          <w:lang w:val="es-ES_tradnl"/>
        </w:rPr>
        <w:t>ó</w:t>
      </w:r>
      <w:r>
        <w:rPr>
          <w:kern w:val="0"/>
          <w:shd w:val="clear" w:color="auto" w:fill="ffffff"/>
          <w:rtl w:val="0"/>
        </w:rPr>
        <w:t>w o realizacj</w:t>
      </w:r>
      <w:r>
        <w:rPr>
          <w:kern w:val="0"/>
          <w:shd w:val="clear" w:color="auto" w:fill="ffffff"/>
          <w:rtl w:val="0"/>
        </w:rPr>
        <w:t xml:space="preserve">ę </w:t>
      </w:r>
      <w:r>
        <w:rPr>
          <w:kern w:val="0"/>
          <w:shd w:val="clear" w:color="auto" w:fill="ffffff"/>
          <w:rtl w:val="0"/>
        </w:rPr>
        <w:t xml:space="preserve">zadania publicznego w ramach </w:t>
      </w:r>
      <w:r>
        <w:rPr>
          <w:b w:val="1"/>
          <w:bCs w:val="1"/>
          <w:kern w:val="0"/>
          <w:shd w:val="clear" w:color="auto" w:fill="ffffff"/>
          <w:rtl w:val="0"/>
        </w:rPr>
        <w:t>inicjatywy lokalnej.</w:t>
      </w:r>
      <w:r>
        <w:rPr>
          <w:kern w:val="0"/>
          <w:shd w:val="clear" w:color="auto" w:fill="ffffff"/>
          <w:rtl w:val="0"/>
        </w:rPr>
        <w:t xml:space="preserve"> </w:t>
      </w:r>
    </w:p>
    <w:p>
      <w:pPr>
        <w:pStyle w:val="Normal.0"/>
        <w:shd w:val="clear" w:color="auto" w:fill="ffffff"/>
        <w:spacing w:after="150" w:line="276" w:lineRule="auto"/>
        <w:ind w:left="0" w:right="0" w:firstLine="0"/>
        <w:rPr>
          <w:b w:val="1"/>
          <w:bCs w:val="1"/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.0"/>
        <w:shd w:val="clear" w:color="auto" w:fill="ffffff"/>
        <w:spacing w:after="15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Inicjatywa lokalna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jest form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ą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wsp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ół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pracy samorz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du terytorialnego 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mieszka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ń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cami w celu wsp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lnego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realizowania zadania publicznego na rzecz spo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eczno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lokalnej. W ramach inicjatywy lokalnej mieszka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ń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cy mog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ą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asza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ć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pomys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 (w formie wniosku) i zadeklarowa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ć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udzia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ł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 jego realizacji, kt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ry mo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ż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mie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ć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form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ę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wk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 rzeczowego, finansowego lub pracy spo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ecznej.</w:t>
      </w:r>
    </w:p>
    <w:p>
      <w:pPr>
        <w:pStyle w:val="Normal.0"/>
        <w:shd w:val="clear" w:color="auto" w:fill="ffffff"/>
        <w:spacing w:after="15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Wniosek o realizacj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ę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inicjatywy lokalnej mieszka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ń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cy mog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ą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ż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ć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bezpo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rednio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lub za po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rednictwem organizacji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pozarz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dowych.</w:t>
      </w:r>
    </w:p>
    <w:p>
      <w:pPr>
        <w:pStyle w:val="Normal.0"/>
        <w:shd w:val="clear" w:color="auto" w:fill="ffffff"/>
        <w:spacing w:after="15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Inicjatywa lokalna musi dotyczy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ć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minimum jednego z nast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ę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puj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cych, ustawowo okre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lonych  obszar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w: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1) dzia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wspomagaj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cej rozw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 wsp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lnot i spo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eczno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lokalnych, w szczeg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budowy, rozbudowy lub remont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 dr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g, kanalizacji, sieci wodoci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gowej, budynk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 oraz obiekt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 architektury (obiekty te musz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ą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ć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ą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Gminy Olsztynek);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2) dzia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charytatywnej;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3) podtrzymywania i upowszechniania tradycji narodowej, piel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ę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gnowania polsko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ci oraz rozwoju 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wiadomo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narodowej, obywatelskiej i kulturowej;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4) dzia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na rzecz mniejszo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narodowych i etnicznych oraz j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ę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zyka regionalnego;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5) kultury, sztuki, ochrony d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br kultury i dziedzictwa narodowego;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6) promocji i organizacji wolontariatu;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7) edukacji, 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wiaty i wychowania, w tym nauki i szkolnictwa wy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ż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szego;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8) dzia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ł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alno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ś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w sferze kultury fizycznej i turystyki, w tym wspierania i upowszechniania kultury fizycznej oraz turystyki i krajoznawstwa;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9) ochrony przyrody, w tym zieleni w miastach i wsiach, a tak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ż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ekologii i ochrony zwierz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oraz ochrony dziedzictwa przyrodniczego;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10) porz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ą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dku i bezpiecze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ń</w:t>
      </w: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stwa publicznego, </w:t>
      </w:r>
    </w:p>
    <w:p>
      <w:pPr>
        <w:pStyle w:val="Normal.0"/>
        <w:shd w:val="clear" w:color="auto" w:fill="ffffff"/>
        <w:tabs>
          <w:tab w:val="left" w:pos="720"/>
        </w:tabs>
        <w:spacing w:after="0" w:line="276" w:lineRule="auto"/>
        <w:ind w:left="0" w:right="0" w:firstLine="0"/>
        <w:rPr>
          <w:outline w:val="0"/>
          <w:color w:val="333333"/>
          <w:kern w:val="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kern w:val="0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11) rewitalizacji.</w:t>
      </w:r>
    </w:p>
    <w:p>
      <w:pPr>
        <w:pStyle w:val="Normal.0"/>
        <w:spacing w:after="0" w:line="276" w:lineRule="auto"/>
        <w:ind w:left="0" w:right="0" w:firstLine="0"/>
        <w:jc w:val="left"/>
        <w:rPr>
          <w:kern w:val="0"/>
          <w:shd w:val="clear" w:color="auto" w:fill="ffffff"/>
        </w:rPr>
      </w:pPr>
    </w:p>
    <w:p>
      <w:pPr>
        <w:pStyle w:val="Normal.0"/>
        <w:spacing w:after="0" w:line="276" w:lineRule="auto"/>
        <w:ind w:left="0" w:right="0" w:firstLine="0"/>
        <w:rPr>
          <w:kern w:val="0"/>
          <w:shd w:val="clear" w:color="auto" w:fill="ffffff"/>
        </w:rPr>
      </w:pPr>
      <w:r>
        <w:rPr>
          <w:kern w:val="0"/>
          <w:shd w:val="clear" w:color="auto" w:fill="ffffff"/>
          <w:rtl w:val="0"/>
        </w:rPr>
        <w:t>Zgodnie z przytoczon</w:t>
      </w:r>
      <w:r>
        <w:rPr>
          <w:kern w:val="0"/>
          <w:shd w:val="clear" w:color="auto" w:fill="ffffff"/>
          <w:rtl w:val="0"/>
        </w:rPr>
        <w:t xml:space="preserve">ą </w:t>
      </w:r>
      <w:r>
        <w:rPr>
          <w:kern w:val="0"/>
          <w:shd w:val="clear" w:color="auto" w:fill="ffffff"/>
          <w:rtl w:val="0"/>
        </w:rPr>
        <w:t>wy</w:t>
      </w:r>
      <w:r>
        <w:rPr>
          <w:kern w:val="0"/>
          <w:shd w:val="clear" w:color="auto" w:fill="ffffff"/>
          <w:rtl w:val="0"/>
        </w:rPr>
        <w:t>ż</w:t>
      </w:r>
      <w:r>
        <w:rPr>
          <w:kern w:val="0"/>
          <w:shd w:val="clear" w:color="auto" w:fill="ffffff"/>
          <w:rtl w:val="0"/>
        </w:rPr>
        <w:t>ej ustaw</w:t>
      </w:r>
      <w:r>
        <w:rPr>
          <w:kern w:val="0"/>
          <w:shd w:val="clear" w:color="auto" w:fill="ffffff"/>
          <w:rtl w:val="0"/>
        </w:rPr>
        <w:t xml:space="preserve">ą </w:t>
      </w:r>
      <w:r>
        <w:rPr>
          <w:kern w:val="0"/>
          <w:shd w:val="clear" w:color="auto" w:fill="ffffff"/>
          <w:rtl w:val="0"/>
        </w:rPr>
        <w:t xml:space="preserve">o 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dzia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 po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ytku publicznego i o wolontariacie </w:t>
      </w:r>
      <w:r>
        <w:rPr>
          <w:kern w:val="0"/>
          <w:shd w:val="clear" w:color="auto" w:fill="ffffff"/>
          <w:rtl w:val="0"/>
        </w:rPr>
        <w:t>- szczeg</w:t>
      </w:r>
      <w:r>
        <w:rPr>
          <w:kern w:val="0"/>
          <w:shd w:val="clear" w:color="auto" w:fill="ffffff"/>
          <w:rtl w:val="0"/>
        </w:rPr>
        <w:t>ół</w:t>
      </w:r>
      <w:r>
        <w:rPr>
          <w:kern w:val="0"/>
          <w:shd w:val="clear" w:color="auto" w:fill="ffffff"/>
          <w:rtl w:val="0"/>
        </w:rPr>
        <w:t>owe kryteria oceny powinny uwzgl</w:t>
      </w:r>
      <w:r>
        <w:rPr>
          <w:kern w:val="0"/>
          <w:shd w:val="clear" w:color="auto" w:fill="ffffff"/>
          <w:rtl w:val="0"/>
        </w:rPr>
        <w:t>ę</w:t>
      </w:r>
      <w:r>
        <w:rPr>
          <w:kern w:val="0"/>
          <w:shd w:val="clear" w:color="auto" w:fill="ffffff"/>
          <w:rtl w:val="0"/>
        </w:rPr>
        <w:t>dnia</w:t>
      </w:r>
      <w:r>
        <w:rPr>
          <w:kern w:val="0"/>
          <w:shd w:val="clear" w:color="auto" w:fill="ffffff"/>
          <w:rtl w:val="0"/>
        </w:rPr>
        <w:t xml:space="preserve">ć </w:t>
      </w:r>
      <w:r>
        <w:rPr>
          <w:kern w:val="0"/>
          <w:shd w:val="clear" w:color="auto" w:fill="ffffff"/>
          <w:rtl w:val="0"/>
        </w:rPr>
        <w:t>przede wszystkim wk</w:t>
      </w:r>
      <w:r>
        <w:rPr>
          <w:kern w:val="0"/>
          <w:shd w:val="clear" w:color="auto" w:fill="ffffff"/>
          <w:rtl w:val="0"/>
        </w:rPr>
        <w:t>ł</w:t>
      </w:r>
      <w:r>
        <w:rPr>
          <w:kern w:val="0"/>
          <w:shd w:val="clear" w:color="auto" w:fill="ffffff"/>
          <w:rtl w:val="0"/>
        </w:rPr>
        <w:t>ad pracy spo</w:t>
      </w:r>
      <w:r>
        <w:rPr>
          <w:kern w:val="0"/>
          <w:shd w:val="clear" w:color="auto" w:fill="ffffff"/>
          <w:rtl w:val="0"/>
        </w:rPr>
        <w:t>ł</w:t>
      </w:r>
      <w:r>
        <w:rPr>
          <w:kern w:val="0"/>
          <w:shd w:val="clear" w:color="auto" w:fill="ffffff"/>
          <w:rtl w:val="0"/>
        </w:rPr>
        <w:t>ecznej w realizacj</w:t>
      </w:r>
      <w:r>
        <w:rPr>
          <w:kern w:val="0"/>
          <w:shd w:val="clear" w:color="auto" w:fill="ffffff"/>
          <w:rtl w:val="0"/>
        </w:rPr>
        <w:t xml:space="preserve">ę </w:t>
      </w:r>
      <w:r>
        <w:rPr>
          <w:kern w:val="0"/>
          <w:shd w:val="clear" w:color="auto" w:fill="ffffff"/>
          <w:rtl w:val="0"/>
        </w:rPr>
        <w:t>inicjatywy lokalnej.</w:t>
      </w:r>
    </w:p>
    <w:p>
      <w:pPr>
        <w:pStyle w:val="Normal.0"/>
        <w:spacing w:after="0" w:line="276" w:lineRule="auto"/>
        <w:ind w:left="0" w:right="0" w:firstLine="0"/>
        <w:rPr>
          <w:kern w:val="0"/>
          <w:shd w:val="clear" w:color="auto" w:fill="ffffff"/>
        </w:rPr>
      </w:pPr>
    </w:p>
    <w:p>
      <w:pPr>
        <w:pStyle w:val="Normal.0"/>
        <w:spacing w:after="0" w:line="240" w:lineRule="auto"/>
        <w:ind w:left="0" w:right="0" w:firstLine="0"/>
        <w:jc w:val="left"/>
        <w:rPr>
          <w:kern w:val="0"/>
          <w:shd w:val="clear" w:color="auto" w:fill="ffffff"/>
        </w:rPr>
      </w:pPr>
    </w:p>
    <w:p>
      <w:pPr>
        <w:pStyle w:val="Normal.0"/>
        <w:spacing w:after="0" w:line="240" w:lineRule="auto"/>
        <w:ind w:left="0" w:right="0" w:firstLine="0"/>
        <w:jc w:val="left"/>
        <w:rPr>
          <w:kern w:val="0"/>
          <w:shd w:val="clear" w:color="auto" w:fill="ffffff"/>
        </w:rPr>
      </w:pPr>
    </w:p>
    <w:p>
      <w:pPr>
        <w:pStyle w:val="Normal.0"/>
        <w:spacing w:after="0" w:line="240" w:lineRule="auto"/>
        <w:ind w:left="0" w:right="0" w:firstLine="0"/>
        <w:jc w:val="left"/>
        <w:rPr>
          <w:kern w:val="0"/>
          <w:shd w:val="clear" w:color="auto" w:fill="ffffff"/>
        </w:rPr>
      </w:pPr>
    </w:p>
    <w:p>
      <w:pPr>
        <w:pStyle w:val="Normal.0"/>
        <w:spacing w:after="120" w:line="357" w:lineRule="auto"/>
        <w:ind w:left="4530" w:right="429" w:hanging="10"/>
        <w:jc w:val="left"/>
      </w:pPr>
      <w:r/>
    </w:p>
    <w:sectPr>
      <w:headerReference w:type="default" r:id="rId4"/>
      <w:footerReference w:type="default" r:id="rId5"/>
      <w:pgSz w:w="11900" w:h="16840" w:orient="portrait"/>
      <w:pgMar w:top="1419" w:right="1000" w:bottom="1440" w:left="1417" w:header="708" w:footer="26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11" w:line="249" w:lineRule="auto"/>
      <w:ind w:left="4535" w:right="444" w:firstLine="33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9" w:lineRule="auto"/>
      <w:ind w:left="0" w:right="444" w:firstLine="735"/>
      <w:jc w:val="both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