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E9" w:rsidRPr="003221CC" w:rsidRDefault="003221CC" w:rsidP="003221CC">
      <w:pPr>
        <w:jc w:val="right"/>
        <w:rPr>
          <w:b/>
        </w:rPr>
      </w:pPr>
      <w:r w:rsidRPr="003221CC">
        <w:rPr>
          <w:b/>
        </w:rPr>
        <w:t xml:space="preserve">Załącznik nr </w:t>
      </w:r>
      <w:r w:rsidR="004B7226">
        <w:rPr>
          <w:b/>
        </w:rPr>
        <w:t>8</w:t>
      </w:r>
      <w:bookmarkStart w:id="0" w:name="_GoBack"/>
      <w:bookmarkEnd w:id="0"/>
    </w:p>
    <w:p w:rsidR="00DA41E9" w:rsidRDefault="00EF5770" w:rsidP="00DA41E9">
      <w:pPr>
        <w:jc w:val="center"/>
        <w:rPr>
          <w:b/>
        </w:rPr>
      </w:pPr>
      <w:r>
        <w:rPr>
          <w:b/>
        </w:rPr>
        <w:t xml:space="preserve">OPIS PRZEDMIOTU ZAMÓWIENIA </w:t>
      </w:r>
      <w:r w:rsidR="00DA41E9" w:rsidRPr="00205459">
        <w:rPr>
          <w:b/>
        </w:rPr>
        <w:t>CZĘŚĆ</w:t>
      </w:r>
      <w:r w:rsidR="00DA41E9">
        <w:rPr>
          <w:b/>
        </w:rPr>
        <w:t xml:space="preserve"> III</w:t>
      </w:r>
    </w:p>
    <w:p w:rsidR="00DA41E9" w:rsidRDefault="00DA41E9" w:rsidP="00DA41E9">
      <w:pPr>
        <w:jc w:val="center"/>
        <w:rPr>
          <w:b/>
        </w:rPr>
      </w:pPr>
      <w:r>
        <w:rPr>
          <w:b/>
        </w:rPr>
        <w:t>SPRZĘT MUZYCZNY</w:t>
      </w:r>
    </w:p>
    <w:p w:rsidR="00DA41E9" w:rsidRPr="009123F4" w:rsidRDefault="00DA41E9" w:rsidP="00DA41E9">
      <w:pPr>
        <w:rPr>
          <w:rFonts w:cstheme="minorHAnsi"/>
          <w:sz w:val="20"/>
          <w:szCs w:val="20"/>
        </w:rPr>
      </w:pPr>
      <w:r w:rsidRPr="009123F4">
        <w:rPr>
          <w:rFonts w:cstheme="minorHAnsi"/>
          <w:sz w:val="20"/>
          <w:szCs w:val="20"/>
        </w:rPr>
        <w:t>1. Elektryczne pianino cyfrowe – sztuk 1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DA41E9" w:rsidRPr="009123F4" w:rsidTr="006E319D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Klawisze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Cs/>
                <w:sz w:val="20"/>
                <w:szCs w:val="20"/>
              </w:rPr>
              <w:t>88 klawiszy, młoteczkowych, ważonych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Polifonia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Minimum 128 głosów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Nagłośnienie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Minimum 2 x 20 W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Wejście słuchawkowe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Wejście / Wyjście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HDMI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Metronom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Pedały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Pulpit do nut, zamykana pokrywa klawiatury</w:t>
            </w:r>
          </w:p>
        </w:tc>
      </w:tr>
      <w:tr w:rsidR="00F2750B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F2750B" w:rsidRPr="009123F4" w:rsidRDefault="00F2750B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F2750B" w:rsidRPr="009123F4" w:rsidRDefault="00F2750B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Konstrukcja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0B" w:rsidRPr="009123F4" w:rsidRDefault="003342D2" w:rsidP="008F29D0">
            <w:pPr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123F4">
              <w:rPr>
                <w:rFonts w:cstheme="minorHAnsi"/>
                <w:sz w:val="20"/>
                <w:szCs w:val="20"/>
              </w:rPr>
              <w:t xml:space="preserve">Obudowa zintegrowana, </w:t>
            </w:r>
            <w:r w:rsidR="008F29D0" w:rsidRPr="009123F4">
              <w:rPr>
                <w:rFonts w:cstheme="minorHAnsi"/>
                <w:sz w:val="20"/>
                <w:szCs w:val="20"/>
              </w:rPr>
              <w:t>tzw. „mebel”. Zamawiający nie uzna za właściwy sprzęt kompilowany tj. umożliwiający oddzielenie stelaża i pedałów od klawiatury.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Gwarancja 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24 miesiące</w:t>
            </w:r>
          </w:p>
        </w:tc>
      </w:tr>
    </w:tbl>
    <w:p w:rsidR="00DA41E9" w:rsidRPr="009123F4" w:rsidRDefault="00DA41E9" w:rsidP="00DA41E9">
      <w:pPr>
        <w:rPr>
          <w:rFonts w:cstheme="minorHAnsi"/>
          <w:sz w:val="20"/>
          <w:szCs w:val="20"/>
        </w:rPr>
      </w:pPr>
      <w:r w:rsidRPr="009123F4">
        <w:rPr>
          <w:rFonts w:cstheme="minorHAnsi"/>
          <w:sz w:val="20"/>
          <w:szCs w:val="20"/>
        </w:rPr>
        <w:t>2. Dzwonki chromatyczne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1676"/>
        <w:gridCol w:w="7612"/>
      </w:tblGrid>
      <w:tr w:rsidR="00DA41E9" w:rsidRPr="009123F4" w:rsidTr="006E319D">
        <w:trPr>
          <w:trHeight w:val="257"/>
        </w:trPr>
        <w:tc>
          <w:tcPr>
            <w:tcW w:w="902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4098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tonów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DA41E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3F4">
              <w:rPr>
                <w:rFonts w:eastAsia="Times New Roman" w:cstheme="minorHAnsi"/>
                <w:sz w:val="20"/>
                <w:szCs w:val="20"/>
                <w:lang w:eastAsia="pl-PL"/>
              </w:rPr>
              <w:t>27 tonów - dwie pełne oktawy z półtonami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Konstrukcja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DA41E9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3F4">
              <w:rPr>
                <w:rFonts w:eastAsia="Times New Roman" w:cstheme="minorHAnsi"/>
                <w:sz w:val="20"/>
                <w:szCs w:val="20"/>
                <w:lang w:eastAsia="pl-PL"/>
              </w:rPr>
              <w:t>Podstawa drewniana o grubości około 3 cm,</w:t>
            </w:r>
            <w:r w:rsidRPr="009123F4">
              <w:rPr>
                <w:rStyle w:val="Uwydatnienie"/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123F4">
              <w:rPr>
                <w:rStyle w:val="Uwydatnienie"/>
                <w:rFonts w:cstheme="minorHAnsi"/>
                <w:i w:val="0"/>
                <w:color w:val="000000"/>
                <w:sz w:val="20"/>
                <w:szCs w:val="20"/>
              </w:rPr>
              <w:t>Nity metalowe, Zapisy dźwięków na blaszkach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Wyposażenie dodatkowe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 pałeczki drewniane, etui</w:t>
            </w:r>
          </w:p>
        </w:tc>
      </w:tr>
      <w:tr w:rsidR="00DA41E9" w:rsidRPr="009123F4" w:rsidTr="006E319D">
        <w:tc>
          <w:tcPr>
            <w:tcW w:w="902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4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12 miesięcy</w:t>
            </w:r>
          </w:p>
        </w:tc>
      </w:tr>
    </w:tbl>
    <w:p w:rsidR="00DA41E9" w:rsidRPr="009123F4" w:rsidRDefault="00DA41E9" w:rsidP="00DA41E9">
      <w:pPr>
        <w:rPr>
          <w:rFonts w:cstheme="minorHAnsi"/>
          <w:sz w:val="20"/>
          <w:szCs w:val="20"/>
        </w:rPr>
      </w:pPr>
      <w:r w:rsidRPr="009123F4">
        <w:rPr>
          <w:rFonts w:cstheme="minorHAnsi"/>
          <w:sz w:val="20"/>
          <w:szCs w:val="20"/>
        </w:rPr>
        <w:t>3. Zestaw instru</w:t>
      </w:r>
      <w:r w:rsidR="009705EC">
        <w:rPr>
          <w:rFonts w:cstheme="minorHAnsi"/>
          <w:sz w:val="20"/>
          <w:szCs w:val="20"/>
        </w:rPr>
        <w:t xml:space="preserve">mentów perkusyjnych – 1 zestaw </w:t>
      </w:r>
      <w:r w:rsidRPr="009123F4">
        <w:rPr>
          <w:rFonts w:cstheme="minorHAnsi"/>
          <w:sz w:val="20"/>
          <w:szCs w:val="20"/>
        </w:rPr>
        <w:t>składający się z następujących elementów: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CF352C" w:rsidRPr="009123F4" w:rsidTr="00A12B32">
        <w:trPr>
          <w:trHeight w:val="257"/>
        </w:trPr>
        <w:tc>
          <w:tcPr>
            <w:tcW w:w="1279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Element</w:t>
            </w:r>
          </w:p>
        </w:tc>
        <w:tc>
          <w:tcPr>
            <w:tcW w:w="3721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245475" w:rsidP="000F74FB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Güiro</w:t>
            </w:r>
            <w:proofErr w:type="spellEnd"/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0F74F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3F4">
              <w:rPr>
                <w:rFonts w:eastAsia="Times New Roman" w:cstheme="minorHAnsi"/>
                <w:sz w:val="20"/>
                <w:szCs w:val="20"/>
                <w:lang w:eastAsia="pl-PL"/>
              </w:rPr>
              <w:t>1 sztuka, drewniane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Trójkąt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0F74F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3F4">
              <w:rPr>
                <w:rFonts w:eastAsia="Times New Roman" w:cstheme="minorHAnsi"/>
                <w:sz w:val="20"/>
                <w:szCs w:val="20"/>
                <w:lang w:eastAsia="pl-PL"/>
              </w:rPr>
              <w:t>1 sztuka, 6”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Marakasy plastikowe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245475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23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2 sztuki (para), 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Marakasy skórzane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CF352C">
            <w:pPr>
              <w:pStyle w:val="Bezodstpw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123F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 sztuki (para),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Tamburyno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CF352C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1 sztuka, drewniane 10"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Klawesony</w:t>
            </w:r>
            <w:proofErr w:type="spellEnd"/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CF352C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2 sztuki (para), drewniane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Energy</w:t>
            </w:r>
            <w:proofErr w:type="spellEnd"/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chimes</w:t>
            </w:r>
            <w:proofErr w:type="spellEnd"/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CF352C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 xml:space="preserve">1 sztuka, </w:t>
            </w:r>
            <w:r w:rsidR="00245475" w:rsidRPr="009123F4">
              <w:rPr>
                <w:rFonts w:asciiTheme="minorHAnsi" w:hAnsiTheme="minorHAnsi" w:cstheme="minorHAnsi"/>
                <w:sz w:val="20"/>
                <w:szCs w:val="20"/>
              </w:rPr>
              <w:t>Pojedynczy dzwonek z pałeczką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CF352C" w:rsidP="000F74FB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A-Go-Go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CF352C" w:rsidP="00CF352C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1 sztuka, 2-rzędowe, drewniane</w:t>
            </w:r>
          </w:p>
        </w:tc>
      </w:tr>
      <w:tr w:rsidR="00CF352C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CF352C" w:rsidRPr="009123F4" w:rsidRDefault="00A12B32" w:rsidP="000F74FB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23F4">
              <w:rPr>
                <w:rFonts w:asciiTheme="minorHAnsi" w:hAnsiTheme="minorHAnsi" w:cstheme="minorHAnsi"/>
                <w:b/>
                <w:sz w:val="20"/>
                <w:szCs w:val="20"/>
              </w:rPr>
              <w:t>caxixi</w:t>
            </w:r>
            <w:proofErr w:type="spellEnd"/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52C" w:rsidRPr="009123F4" w:rsidRDefault="00A12B32" w:rsidP="00CF352C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1sztuka</w:t>
            </w:r>
          </w:p>
        </w:tc>
      </w:tr>
      <w:tr w:rsidR="009558F2" w:rsidRPr="009123F4" w:rsidTr="00A12B32">
        <w:tc>
          <w:tcPr>
            <w:tcW w:w="1279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9558F2" w:rsidRPr="009123F4" w:rsidRDefault="009558F2" w:rsidP="00F60BEB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F2" w:rsidRPr="009123F4" w:rsidRDefault="009558F2" w:rsidP="00F60BEB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12 miesięcy</w:t>
            </w:r>
          </w:p>
        </w:tc>
      </w:tr>
    </w:tbl>
    <w:p w:rsidR="00624608" w:rsidRDefault="00624608" w:rsidP="00DA41E9">
      <w:pPr>
        <w:rPr>
          <w:rFonts w:cstheme="minorHAnsi"/>
          <w:sz w:val="20"/>
          <w:szCs w:val="20"/>
        </w:rPr>
      </w:pPr>
    </w:p>
    <w:p w:rsidR="00DA41E9" w:rsidRPr="009123F4" w:rsidRDefault="008B51E3" w:rsidP="00DA41E9">
      <w:pPr>
        <w:rPr>
          <w:rFonts w:cstheme="minorHAnsi"/>
          <w:sz w:val="20"/>
          <w:szCs w:val="20"/>
        </w:rPr>
      </w:pPr>
      <w:r w:rsidRPr="009123F4">
        <w:rPr>
          <w:rFonts w:cstheme="minorHAnsi"/>
          <w:sz w:val="20"/>
          <w:szCs w:val="20"/>
        </w:rPr>
        <w:t>4</w:t>
      </w:r>
      <w:r w:rsidR="00DA41E9" w:rsidRPr="009123F4">
        <w:rPr>
          <w:rFonts w:cstheme="minorHAnsi"/>
          <w:sz w:val="20"/>
          <w:szCs w:val="20"/>
        </w:rPr>
        <w:t>. Stojak do nut  – sztuk 15</w:t>
      </w:r>
    </w:p>
    <w:tbl>
      <w:tblPr>
        <w:tblW w:w="5000" w:type="pct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4A0" w:firstRow="1" w:lastRow="0" w:firstColumn="1" w:lastColumn="0" w:noHBand="0" w:noVBand="1"/>
      </w:tblPr>
      <w:tblGrid>
        <w:gridCol w:w="2942"/>
        <w:gridCol w:w="6346"/>
      </w:tblGrid>
      <w:tr w:rsidR="00DA41E9" w:rsidRPr="009123F4" w:rsidTr="00DA41E9">
        <w:trPr>
          <w:trHeight w:val="257"/>
        </w:trPr>
        <w:tc>
          <w:tcPr>
            <w:tcW w:w="158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BFBFBF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Parametr</w:t>
            </w:r>
          </w:p>
        </w:tc>
        <w:tc>
          <w:tcPr>
            <w:tcW w:w="341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Charakterystyka (wymagania minimalne)</w:t>
            </w:r>
          </w:p>
        </w:tc>
      </w:tr>
      <w:tr w:rsidR="00DA41E9" w:rsidRPr="009123F4" w:rsidTr="00DA41E9">
        <w:trPr>
          <w:trHeight w:val="257"/>
        </w:trPr>
        <w:tc>
          <w:tcPr>
            <w:tcW w:w="1584" w:type="pct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Materiał</w:t>
            </w:r>
          </w:p>
        </w:tc>
        <w:tc>
          <w:tcPr>
            <w:tcW w:w="3416" w:type="pct"/>
            <w:tcBorders>
              <w:top w:val="single" w:sz="8" w:space="0" w:color="8064A2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stal</w:t>
            </w:r>
          </w:p>
        </w:tc>
      </w:tr>
      <w:tr w:rsidR="00DA41E9" w:rsidRPr="009123F4" w:rsidTr="00DA41E9">
        <w:tc>
          <w:tcPr>
            <w:tcW w:w="158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Kolor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3F4">
              <w:rPr>
                <w:rFonts w:eastAsia="Times New Roman" w:cstheme="minorHAnsi"/>
                <w:sz w:val="20"/>
                <w:szCs w:val="20"/>
                <w:lang w:eastAsia="pl-PL"/>
              </w:rPr>
              <w:t>Czarny , siwy</w:t>
            </w:r>
          </w:p>
        </w:tc>
      </w:tr>
      <w:tr w:rsidR="00DA41E9" w:rsidRPr="009123F4" w:rsidTr="00DA41E9">
        <w:tc>
          <w:tcPr>
            <w:tcW w:w="158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DA41E9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Pulpit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DA41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3F4">
              <w:rPr>
                <w:rFonts w:cstheme="minorHAnsi"/>
                <w:sz w:val="20"/>
                <w:szCs w:val="20"/>
              </w:rPr>
              <w:t>Wymiary: ok 400 mm x ok. 290 mm</w:t>
            </w:r>
            <w:r w:rsidRPr="009123F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:rsidR="00DA41E9" w:rsidRPr="009123F4" w:rsidRDefault="00DA41E9" w:rsidP="00DA41E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23F4">
              <w:rPr>
                <w:rFonts w:eastAsia="Times New Roman" w:cstheme="minorHAnsi"/>
                <w:sz w:val="20"/>
                <w:szCs w:val="20"/>
                <w:lang w:eastAsia="pl-PL"/>
              </w:rPr>
              <w:t>Zdejmowana podstawka na nuty.</w:t>
            </w:r>
          </w:p>
        </w:tc>
      </w:tr>
      <w:tr w:rsidR="00DA41E9" w:rsidRPr="009123F4" w:rsidTr="00DA41E9">
        <w:tc>
          <w:tcPr>
            <w:tcW w:w="158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Regulacja wysokości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9123F4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DA41E9" w:rsidRPr="009123F4" w:rsidTr="00DA41E9">
        <w:tc>
          <w:tcPr>
            <w:tcW w:w="158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Możliwość złożenia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9123F4">
              <w:rPr>
                <w:rFonts w:cstheme="minorHAnsi"/>
                <w:sz w:val="20"/>
                <w:szCs w:val="20"/>
              </w:rPr>
              <w:t>tak</w:t>
            </w:r>
          </w:p>
        </w:tc>
      </w:tr>
      <w:tr w:rsidR="00DA41E9" w:rsidRPr="009123F4" w:rsidTr="00DA41E9">
        <w:tc>
          <w:tcPr>
            <w:tcW w:w="158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Wymagania dotyczące konstrukcji 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9123F4">
              <w:rPr>
                <w:rFonts w:cstheme="minorHAnsi"/>
                <w:sz w:val="20"/>
                <w:szCs w:val="20"/>
              </w:rPr>
              <w:t>Konstrukcja stabilna niezależnie od wysokości,</w:t>
            </w:r>
          </w:p>
        </w:tc>
      </w:tr>
      <w:tr w:rsidR="00DA41E9" w:rsidRPr="009123F4" w:rsidTr="00DA41E9">
        <w:tc>
          <w:tcPr>
            <w:tcW w:w="1584" w:type="pct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8" w:space="0" w:color="8064A2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1E9" w:rsidRPr="009123F4" w:rsidRDefault="00DA41E9" w:rsidP="006E319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9123F4">
              <w:rPr>
                <w:rFonts w:asciiTheme="minorHAnsi" w:hAnsiTheme="minorHAnsi" w:cstheme="minorHAnsi"/>
                <w:sz w:val="20"/>
                <w:szCs w:val="20"/>
              </w:rPr>
              <w:t>12 miesięcy</w:t>
            </w:r>
          </w:p>
        </w:tc>
      </w:tr>
    </w:tbl>
    <w:p w:rsidR="002B7098" w:rsidRDefault="002B7098"/>
    <w:sectPr w:rsidR="002B7098" w:rsidSect="009123F4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9B61F2A"/>
    <w:multiLevelType w:val="multilevel"/>
    <w:tmpl w:val="961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3298B"/>
    <w:multiLevelType w:val="multilevel"/>
    <w:tmpl w:val="DC3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E9"/>
    <w:rsid w:val="00067C90"/>
    <w:rsid w:val="0017460B"/>
    <w:rsid w:val="00245475"/>
    <w:rsid w:val="002B7098"/>
    <w:rsid w:val="003112D1"/>
    <w:rsid w:val="003221CC"/>
    <w:rsid w:val="003342D2"/>
    <w:rsid w:val="003D4A42"/>
    <w:rsid w:val="004B7226"/>
    <w:rsid w:val="00624608"/>
    <w:rsid w:val="0073247C"/>
    <w:rsid w:val="008B51E3"/>
    <w:rsid w:val="008F29D0"/>
    <w:rsid w:val="009025AE"/>
    <w:rsid w:val="009123F4"/>
    <w:rsid w:val="009558F2"/>
    <w:rsid w:val="009705EC"/>
    <w:rsid w:val="009840EA"/>
    <w:rsid w:val="00A12B32"/>
    <w:rsid w:val="00BE2363"/>
    <w:rsid w:val="00C82820"/>
    <w:rsid w:val="00CF352C"/>
    <w:rsid w:val="00DA41E9"/>
    <w:rsid w:val="00EB5EDA"/>
    <w:rsid w:val="00EF5770"/>
    <w:rsid w:val="00F2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DA41E9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A41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aaaa</cp:lastModifiedBy>
  <cp:revision>18</cp:revision>
  <cp:lastPrinted>2013-09-02T11:40:00Z</cp:lastPrinted>
  <dcterms:created xsi:type="dcterms:W3CDTF">2013-08-11T11:51:00Z</dcterms:created>
  <dcterms:modified xsi:type="dcterms:W3CDTF">2013-09-02T11:40:00Z</dcterms:modified>
</cp:coreProperties>
</file>