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434B6F">
        <w:rPr>
          <w:rFonts w:ascii="Times New Roman" w:hAnsi="Times New Roman" w:cs="Times New Roman"/>
          <w:b/>
          <w:bCs/>
          <w:sz w:val="20"/>
          <w:szCs w:val="20"/>
        </w:rPr>
        <w:t>OBJAŚNIENIA PRZYJĘTYCH WARTOŚCI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Uwagi ogólne</w:t>
      </w:r>
      <w:r w:rsidRPr="00434B6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>Do opracowania Wieloletniej Prognozy Finansowej Gminy Olsztynek na lata 2015 – 2024 (załącznik nr 1) dane na rok 2015 przyjęto zgodnie z informacjami Ministerstwa Finansów oraz Wojewody Warmińsko – Mazurskiego, oraz szacowaniem dochodów własnych ze szczególnym uwzględnieniem dochodów z podatków i opłat lokalnych, dochodów majątkowych (w tym ze środków pomocowych). Natomiast na lata kolejne przyjęto założenia zgodnie ze wskaźnikami makroekonomicznymi Budżetu Państwa oraz własne szacunki.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Dochody: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W roku 2015 ogólna kwota dochodów w stosunku do roku 2014 jest niższa ze względu na ujęcie w dochodach 2015 roku niższych kwot dochodów ze środków pomocowych oraz  niższych kwot dochodów ze zwrotu podatku VAT w 2015 roku.  Z tego powodu w Wieloletniej Prognozie Finansowej założone zostały niższe dochody w roku 2015 w stosunku do roku 2014. </w:t>
      </w:r>
      <w:r w:rsidRPr="00434B6F">
        <w:rPr>
          <w:rFonts w:ascii="Times New Roman" w:hAnsi="Times New Roman" w:cs="Times New Roman"/>
          <w:color w:val="000000"/>
          <w:sz w:val="24"/>
          <w:szCs w:val="24"/>
        </w:rPr>
        <w:t>Od roku 2016 przyjęto wzrost ogólnych kwot dochodów na bardzo niskim poziomie- w granicach 0,02 %.</w:t>
      </w:r>
      <w:r w:rsidRPr="00434B6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434B6F">
        <w:rPr>
          <w:rFonts w:ascii="Times New Roman" w:hAnsi="Times New Roman" w:cs="Times New Roman"/>
          <w:sz w:val="24"/>
          <w:szCs w:val="24"/>
        </w:rPr>
        <w:t>Szcuje</w:t>
      </w:r>
      <w:proofErr w:type="spellEnd"/>
      <w:r w:rsidRPr="00434B6F">
        <w:rPr>
          <w:rFonts w:ascii="Times New Roman" w:hAnsi="Times New Roman" w:cs="Times New Roman"/>
          <w:sz w:val="24"/>
          <w:szCs w:val="24"/>
        </w:rPr>
        <w:t xml:space="preserve"> się, że kwoty dochodów w trakcie roku będą zwiększane o kwoty wynikające z decyzji zwiększających kwoty dotacji na zadania własne i zlecone. Czynione będą również starania w  celu pozyskania środków z różnych źródeł.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Gmina ma przygotowane i przygotowuje do sprzedaży bardzo atrakcyjne tereny. Między innymi zaplanowana została sprzedaż działek rekreacyjnych, pod zabudowę usługową, na cele przemysłowo - składowe i budownictwo jednorodzinne. 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>Przyjęto spadkową tendencję wielkości dochodów majątkowych. Jednak cały czas czynione będą starania o pozyskiwanie środków na inwestycje z różnych źródeł.  Po okresie stagnacji wywołanej kryzysem gospodarczym przewiduje się tendencje ożywienia na rynku nieruchomości. Wykaz nieruchomości planowanych do sprzedaży w 2015 roku zamieszczony został w wyjaśnieniach do projektu budżetu na 2015 rok. Istotne znaczenie dla dochodów ze sprzedaży majątku gminy w kolejnych latach będzie miało tempo porządkowania własności (komunalizacja mienia) i przeznaczenia go do sprzedaży. Dochody ze sprzedaży mienia utrzymano do roku 2015 na relatywnie wysokim poziomie. .W kolejnym okresie planowane wpływy z tego tytułu znacznie zmniejszono. Stawki za najem i dzierżawę zasobu gminy będą sukcesywnie regulowane.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Wydatki: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>Wydatki na obsługę długu zaplanowano na podstawie harmonogramów spłat wcześniej zaciągniętych kredytów i pożyczek. Za podstawę wyliczenia przyjęto odpowiednie podstawy oprocentowania  i szacowane wielkości w latach następnych.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Wynagrodzenia i składki od nich naliczane przyjęto  od roku 2016 na stałym poziomie. 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lastRenderedPageBreak/>
        <w:t xml:space="preserve">W wydatkach związanych z funkcjonowaniem organów </w:t>
      </w:r>
      <w:proofErr w:type="spellStart"/>
      <w:r w:rsidRPr="00434B6F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Pr="00434B6F">
        <w:rPr>
          <w:rFonts w:ascii="Times New Roman" w:hAnsi="Times New Roman" w:cs="Times New Roman"/>
          <w:sz w:val="24"/>
          <w:szCs w:val="24"/>
        </w:rPr>
        <w:t xml:space="preserve"> przyjęto wydatki z rozdziału 75022 „Rady gmin” i z rozdziału 75023 „Urzędy gmin”. Od roku 2012 w rozdziale 75023 ujęte są wydatki związane z poborem opłat i podatków w związku ze skreśleniem rozdziału 75647 z klasyfikacji budżetowej poza wynagrodzeniem agencyjno-prowizyjnym sołtysów, które ujęte jest w rozdziale 75095.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W ramach przedsięwzięć wykazanych w załączniku Nr 2 do uchwały w sprawie wieloletniej prognozy finansowej wykazano kwoty wynikające z zawartych umów oraz złożonych i planowanych do złożenia wniosków o środki pomocowe. 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Przychody: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Zaplanowano w roku 2015 emisję obligacji w kwocie 2 000 000 zł, których wykup przewidziano w latach 2020-2022, przychody z pożyczki z Narodowego Funduszu Ochrony </w:t>
      </w:r>
      <w:proofErr w:type="spellStart"/>
      <w:r w:rsidRPr="00434B6F">
        <w:rPr>
          <w:rFonts w:ascii="Times New Roman" w:hAnsi="Times New Roman" w:cs="Times New Roman"/>
          <w:sz w:val="24"/>
          <w:szCs w:val="24"/>
        </w:rPr>
        <w:t>Środkowiska</w:t>
      </w:r>
      <w:proofErr w:type="spellEnd"/>
      <w:r w:rsidRPr="00434B6F">
        <w:rPr>
          <w:rFonts w:ascii="Times New Roman" w:hAnsi="Times New Roman" w:cs="Times New Roman"/>
          <w:sz w:val="24"/>
          <w:szCs w:val="24"/>
        </w:rPr>
        <w:t xml:space="preserve"> i Gospodarki wodnej w Warszawie w kwocie 227 542,25 zł, przychody ze spłaty pożyczek udzielonych z budżetu Wspólnotom Mieszkaniowym w kwocie 38 450,84 zł oraz wolne środki w kwocie 480 000 zł. 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Rozchody: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Wydatki na spłatę  długu zaplanowano na podstawie harmonogramów spłat wcześniej zaciągniętych kredytów i pożyczek.  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Kwota długu: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>Kwota długu wykazana na koniec każdego roku zawiera kredyty, pożyczki oraz planowane do emisji obligacje i pożyczka  w 2015 roku.</w:t>
      </w:r>
    </w:p>
    <w:p w:rsidR="00434B6F" w:rsidRPr="00434B6F" w:rsidRDefault="00434B6F" w:rsidP="00434B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b/>
          <w:bCs/>
          <w:sz w:val="24"/>
          <w:szCs w:val="24"/>
        </w:rPr>
        <w:t>Maksymalny dopuszczalny wskaźnik</w:t>
      </w:r>
      <w:r w:rsidRPr="00434B6F">
        <w:rPr>
          <w:rFonts w:ascii="Times New Roman" w:hAnsi="Times New Roman" w:cs="Times New Roman"/>
          <w:sz w:val="24"/>
          <w:szCs w:val="24"/>
        </w:rPr>
        <w:t>:</w:t>
      </w:r>
    </w:p>
    <w:p w:rsidR="00434B6F" w:rsidRPr="00434B6F" w:rsidRDefault="00434B6F" w:rsidP="00434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B6F">
        <w:rPr>
          <w:rFonts w:ascii="Times New Roman" w:hAnsi="Times New Roman" w:cs="Times New Roman"/>
          <w:sz w:val="24"/>
          <w:szCs w:val="24"/>
        </w:rPr>
        <w:t xml:space="preserve">Na przestrzeni analizowanych lat dopuszczalny wskaźnik spłaty zobowiązań zgodnie z art. 243 </w:t>
      </w:r>
      <w:proofErr w:type="spellStart"/>
      <w:r w:rsidRPr="00434B6F">
        <w:rPr>
          <w:rFonts w:ascii="Times New Roman" w:hAnsi="Times New Roman" w:cs="Times New Roman"/>
          <w:sz w:val="24"/>
          <w:szCs w:val="24"/>
        </w:rPr>
        <w:t>ufp</w:t>
      </w:r>
      <w:proofErr w:type="spellEnd"/>
      <w:r w:rsidRPr="00434B6F">
        <w:rPr>
          <w:rFonts w:ascii="Times New Roman" w:hAnsi="Times New Roman" w:cs="Times New Roman"/>
          <w:sz w:val="24"/>
          <w:szCs w:val="24"/>
        </w:rPr>
        <w:t xml:space="preserve"> po uwzględnieniu art. 244 </w:t>
      </w:r>
      <w:proofErr w:type="spellStart"/>
      <w:r w:rsidRPr="00434B6F">
        <w:rPr>
          <w:rFonts w:ascii="Times New Roman" w:hAnsi="Times New Roman" w:cs="Times New Roman"/>
          <w:sz w:val="24"/>
          <w:szCs w:val="24"/>
        </w:rPr>
        <w:t>ufp</w:t>
      </w:r>
      <w:proofErr w:type="spellEnd"/>
      <w:r w:rsidRPr="00434B6F">
        <w:rPr>
          <w:rFonts w:ascii="Times New Roman" w:hAnsi="Times New Roman" w:cs="Times New Roman"/>
          <w:sz w:val="24"/>
          <w:szCs w:val="24"/>
        </w:rPr>
        <w:t xml:space="preserve"> został  spełniony w 2015 roku i w kolejnych latach.</w:t>
      </w:r>
    </w:p>
    <w:p w:rsidR="00434B6F" w:rsidRPr="00434B6F" w:rsidRDefault="00434B6F" w:rsidP="00434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2C4" w:rsidRDefault="007352C4">
      <w:bookmarkStart w:id="0" w:name="_GoBack"/>
      <w:bookmarkEnd w:id="0"/>
    </w:p>
    <w:sectPr w:rsidR="007352C4" w:rsidSect="008E3ED5">
      <w:pgSz w:w="11909" w:h="16834"/>
      <w:pgMar w:top="1138" w:right="1138" w:bottom="1138" w:left="141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C7"/>
    <w:rsid w:val="00434B6F"/>
    <w:rsid w:val="007352C4"/>
    <w:rsid w:val="00C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2</cp:revision>
  <dcterms:created xsi:type="dcterms:W3CDTF">2015-12-03T12:38:00Z</dcterms:created>
  <dcterms:modified xsi:type="dcterms:W3CDTF">2015-12-03T12:38:00Z</dcterms:modified>
</cp:coreProperties>
</file>